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>
      <w:pPr>
        <w:rPr>
          <w:sz w:val="24"/>
          <w:szCs w:val="24"/>
        </w:rPr>
      </w:pPr>
    </w:p>
    <w:p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事　業　実　績　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>
      <w:pPr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類似事業や活動実績について記載してください。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>
        <w:trPr>
          <w:trHeight w:val="375"/>
        </w:trPr>
        <w:tc>
          <w:tcPr>
            <w:tcW w:w="1842" w:type="dxa"/>
          </w:tcPr>
          <w:p>
            <w:pPr>
              <w:ind w:left="14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>
            <w:pPr>
              <w:ind w:left="141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事業名及び事業内容</w:t>
            </w:r>
          </w:p>
        </w:tc>
      </w:tr>
      <w:tr>
        <w:trPr>
          <w:trHeight w:val="8626"/>
        </w:trPr>
        <w:tc>
          <w:tcPr>
            <w:tcW w:w="1842" w:type="dxa"/>
          </w:tcPr>
          <w:p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ind w:left="141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594A-79AC-4AD2-A864-DA8CBABF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2024-03-01T05:12:00Z</dcterms:modified>
</cp:coreProperties>
</file>