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6F6" w:rsidRPr="00D173A8" w:rsidRDefault="00291C2D">
      <w:pPr>
        <w:rPr>
          <w:rFonts w:ascii="HGP明朝B" w:eastAsia="HGP明朝B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FF0BB5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D173A8">
        <w:rPr>
          <w:rFonts w:ascii="HGP明朝B" w:eastAsia="HGP明朝B" w:hint="eastAsia"/>
        </w:rPr>
        <w:t xml:space="preserve">（　</w:t>
      </w:r>
      <w:r w:rsidR="00157FFA">
        <w:rPr>
          <w:rFonts w:ascii="HGP明朝B" w:eastAsia="HGP明朝B" w:hint="eastAsia"/>
          <w:sz w:val="22"/>
        </w:rPr>
        <w:t>参　考</w:t>
      </w:r>
      <w:r w:rsidRPr="00D173A8">
        <w:rPr>
          <w:rFonts w:ascii="HGP明朝B" w:eastAsia="HGP明朝B" w:hint="eastAsia"/>
        </w:rPr>
        <w:t xml:space="preserve">　）</w:t>
      </w:r>
    </w:p>
    <w:tbl>
      <w:tblPr>
        <w:tblW w:w="0" w:type="auto"/>
        <w:tblInd w:w="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0"/>
      </w:tblGrid>
      <w:tr w:rsidR="00291C2D" w:rsidTr="007010BE">
        <w:trPr>
          <w:trHeight w:val="14062"/>
        </w:trPr>
        <w:tc>
          <w:tcPr>
            <w:tcW w:w="8981" w:type="dxa"/>
          </w:tcPr>
          <w:p w:rsidR="00291C2D" w:rsidRDefault="00291C2D" w:rsidP="00D173A8">
            <w:pPr>
              <w:jc w:val="center"/>
            </w:pPr>
          </w:p>
          <w:p w:rsidR="00291C2D" w:rsidRPr="007010BE" w:rsidRDefault="00291C2D" w:rsidP="00D173A8">
            <w:pPr>
              <w:jc w:val="center"/>
              <w:rPr>
                <w:rFonts w:ascii="BIZ UDP明朝 Medium" w:eastAsia="BIZ UDP明朝 Medium" w:hAnsi="BIZ UDP明朝 Medium"/>
                <w:sz w:val="44"/>
                <w:szCs w:val="4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44"/>
                <w:szCs w:val="44"/>
              </w:rPr>
              <w:t>診　　　断　　　書</w:t>
            </w:r>
          </w:p>
          <w:p w:rsidR="00291C2D" w:rsidRPr="007010BE" w:rsidRDefault="00291C2D" w:rsidP="00D173A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91C2D" w:rsidRPr="007010BE" w:rsidRDefault="00291C2D" w:rsidP="00EA5266">
            <w:pPr>
              <w:ind w:firstLineChars="1300" w:firstLine="3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所</w:t>
            </w:r>
          </w:p>
          <w:p w:rsidR="00291C2D" w:rsidRPr="007010BE" w:rsidRDefault="00291C2D" w:rsidP="00D173A8">
            <w:pPr>
              <w:ind w:firstLineChars="1200" w:firstLine="28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91C2D" w:rsidRPr="007010BE" w:rsidRDefault="00291C2D" w:rsidP="00EA5266">
            <w:pPr>
              <w:ind w:firstLineChars="1300" w:firstLine="3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氏　名</w:t>
            </w:r>
          </w:p>
          <w:p w:rsidR="00291C2D" w:rsidRPr="007010BE" w:rsidRDefault="00291C2D" w:rsidP="00D173A8">
            <w:pPr>
              <w:ind w:firstLineChars="1200" w:firstLine="2880"/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673DF6" w:rsidRDefault="00291C2D" w:rsidP="00EA5266">
            <w:pPr>
              <w:ind w:firstLineChars="1300" w:firstLine="31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生年月日</w:t>
            </w:r>
            <w:r w:rsidR="00157FF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2D1F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昭和　・　平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成</w:t>
            </w:r>
            <w:r w:rsidR="00673DF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  <w:r w:rsidR="00673DF6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年　　　月</w:t>
            </w:r>
            <w:r w:rsidR="00673DF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673DF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</w:t>
            </w:r>
            <w:r w:rsidR="00673DF6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</w:t>
            </w:r>
          </w:p>
          <w:p w:rsidR="00634F85" w:rsidRPr="00673DF6" w:rsidRDefault="00634F85" w:rsidP="00673D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291C2D" w:rsidRPr="007010BE" w:rsidRDefault="00291C2D" w:rsidP="001266EF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上記の者は</w:t>
            </w:r>
            <w:r w:rsidR="000F255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</w:p>
          <w:p w:rsidR="00634F85" w:rsidRDefault="00634F85" w:rsidP="00673DF6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１　精神障害又は発作による意識障害をもたらし、その他の狩猟を適正に</w:t>
            </w:r>
            <w:r w:rsidR="00673DF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行う</w:t>
            </w:r>
          </w:p>
          <w:p w:rsidR="00634F85" w:rsidRDefault="00634F85" w:rsidP="001266EF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ことに支障を及ぼすおそれがある病気として、次に掲げる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もの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にかかって</w:t>
            </w:r>
            <w:proofErr w:type="gramStart"/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い</w:t>
            </w:r>
            <w:proofErr w:type="gramEnd"/>
          </w:p>
          <w:p w:rsidR="00634F85" w:rsidRDefault="00634F85" w:rsidP="00673DF6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る者ではない。</w:t>
            </w:r>
          </w:p>
          <w:p w:rsidR="00291C2D" w:rsidRPr="007010BE" w:rsidRDefault="00634F85" w:rsidP="001266EF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（１）　</w:t>
            </w:r>
            <w:r w:rsidR="002D1F58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統合失調症</w:t>
            </w:r>
          </w:p>
          <w:p w:rsidR="00EA5266" w:rsidRDefault="00634F85" w:rsidP="001266EF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291C2D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  <w:r w:rsidR="00291C2D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そううつ病（そう病及びうつ病を含む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。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  <w:p w:rsidR="00EA5266" w:rsidRDefault="00634F85" w:rsidP="00EA5266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３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てんかん（発作が再発するおそれが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ないもの</w:t>
            </w:r>
            <w:r w:rsidR="000F255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発作が再発しても意識</w:t>
            </w:r>
          </w:p>
          <w:p w:rsidR="00F80083" w:rsidRDefault="00F80083" w:rsidP="00EA5266">
            <w:pPr>
              <w:ind w:firstLineChars="450" w:firstLine="10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障害がもたらされないもの及び発作が睡眠中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に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限り再発するものを除く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。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）</w:t>
            </w:r>
          </w:p>
          <w:p w:rsidR="00673DF6" w:rsidRPr="007010BE" w:rsidRDefault="00673DF6" w:rsidP="00673DF6">
            <w:pPr>
              <w:ind w:firstLineChars="300" w:firstLine="72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(4)　（１）から（３）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以外で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自己の行為の是非を判別し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又はその判別に従って</w:t>
            </w:r>
          </w:p>
          <w:p w:rsidR="00673DF6" w:rsidRPr="007010BE" w:rsidRDefault="00673DF6" w:rsidP="00EA5266">
            <w:pPr>
              <w:ind w:firstLineChars="450" w:firstLine="10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行動する能力を失わせ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、又は著しく低下させる症状を呈する病気</w:t>
            </w:r>
          </w:p>
          <w:p w:rsidR="00673DF6" w:rsidRDefault="00673DF6" w:rsidP="00673DF6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２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麻薬</w:t>
            </w:r>
            <w:r w:rsidR="000F255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大麻</w:t>
            </w:r>
            <w:r w:rsidR="000F255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、</w:t>
            </w:r>
            <w:proofErr w:type="gramStart"/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あ</w:t>
            </w:r>
            <w:proofErr w:type="gramEnd"/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へん又は覚醒剤の中毒者ではない。</w:t>
            </w:r>
          </w:p>
          <w:p w:rsidR="00EA5266" w:rsidRDefault="00673DF6" w:rsidP="00673D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３　自己の行為の是非を判別し、又はその判別に従って行動する能力がなく、</w:t>
            </w:r>
            <w:r w:rsidR="00EA526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又</w:t>
            </w:r>
          </w:p>
          <w:p w:rsidR="00673DF6" w:rsidRDefault="00EA5266" w:rsidP="00673DF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は著しく低い者</w:t>
            </w:r>
            <w:bookmarkStart w:id="0" w:name="_GoBack"/>
            <w:bookmarkEnd w:id="0"/>
            <w:r w:rsidR="00BE2286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ではない。</w:t>
            </w:r>
          </w:p>
          <w:p w:rsidR="00F80083" w:rsidRPr="007010BE" w:rsidRDefault="00F80083" w:rsidP="00EA5266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80083" w:rsidRPr="007010BE" w:rsidRDefault="00F80083" w:rsidP="001266EF">
            <w:pPr>
              <w:ind w:firstLineChars="250" w:firstLine="60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以上のとおり診断します。</w:t>
            </w:r>
          </w:p>
          <w:p w:rsidR="00F80083" w:rsidRPr="007010BE" w:rsidRDefault="007327BD" w:rsidP="007327BD">
            <w:pPr>
              <w:ind w:firstLineChars="1400" w:firstLine="3360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</w:t>
            </w:r>
            <w:r w:rsidR="001266EF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年　　</w:t>
            </w:r>
            <w:r w:rsidR="001266EF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月　　</w:t>
            </w:r>
            <w:r w:rsidR="001266EF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F80083"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日</w:t>
            </w:r>
          </w:p>
          <w:p w:rsidR="00F80083" w:rsidRPr="007010BE" w:rsidRDefault="00F80083" w:rsidP="00D173A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F80083" w:rsidRDefault="00F80083" w:rsidP="007010BE">
            <w:pPr>
              <w:ind w:firstLineChars="1100" w:firstLine="264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  <w:r w:rsidRPr="002D1F5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>医療機関名</w:t>
            </w:r>
            <w:r w:rsidR="002D1F5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2D1F58" w:rsidRPr="002D1F58" w:rsidRDefault="002D1F58" w:rsidP="007010BE">
            <w:pPr>
              <w:ind w:firstLineChars="1100" w:firstLine="264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  <w:p w:rsidR="00F80083" w:rsidRDefault="000F2552" w:rsidP="001266EF">
            <w:pPr>
              <w:ind w:firstLineChars="1100" w:firstLine="264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  <w:r w:rsidRPr="002D1F5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>住　　　　所</w:t>
            </w:r>
            <w:r w:rsidR="002D1F5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:rsidR="002D1F58" w:rsidRPr="002D1F58" w:rsidRDefault="002D1F58" w:rsidP="001266EF">
            <w:pPr>
              <w:ind w:firstLineChars="1100" w:firstLine="264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</w:p>
          <w:p w:rsidR="00484125" w:rsidRPr="007010BE" w:rsidRDefault="001266EF" w:rsidP="007010BE">
            <w:pPr>
              <w:ind w:firstLineChars="1050" w:firstLine="2520"/>
              <w:rPr>
                <w:rFonts w:ascii="BIZ UDP明朝 Medium" w:eastAsia="BIZ UDP明朝 Medium" w:hAnsi="BIZ UDP明朝 Medium"/>
                <w:sz w:val="24"/>
                <w:szCs w:val="24"/>
                <w:u w:val="single"/>
              </w:rPr>
            </w:pP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484125" w:rsidRPr="007010BE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医師氏名　　　　　　　　　　　　　　</w:t>
            </w:r>
            <w:r w:rsidR="00D173A8" w:rsidRPr="007010BE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="00484125" w:rsidRPr="007010BE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  <w:r w:rsidR="00D173A8" w:rsidRPr="007010BE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="002D1F58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　　</w:t>
            </w:r>
            <w:r w:rsidRPr="007010BE">
              <w:rPr>
                <w:rFonts w:ascii="BIZ UDP明朝 Medium" w:eastAsia="BIZ UDP明朝 Medium" w:hAnsi="BIZ UDP明朝 Medium" w:hint="eastAsia"/>
                <w:sz w:val="24"/>
                <w:szCs w:val="24"/>
                <w:u w:val="single"/>
              </w:rPr>
              <w:t xml:space="preserve">　</w:t>
            </w:r>
          </w:p>
          <w:p w:rsidR="00291C2D" w:rsidRPr="007010BE" w:rsidRDefault="00291C2D" w:rsidP="00D173A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:rsidR="00157FFA" w:rsidRDefault="007010BE" w:rsidP="007010BE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この診断書</w:t>
            </w:r>
            <w:r w:rsidR="00157FFA">
              <w:rPr>
                <w:rFonts w:hint="eastAsia"/>
                <w:sz w:val="24"/>
                <w:szCs w:val="24"/>
              </w:rPr>
              <w:t>は、参考様式であり、法定様式ではありません。同じ</w:t>
            </w:r>
            <w:r>
              <w:rPr>
                <w:rFonts w:hint="eastAsia"/>
                <w:sz w:val="24"/>
                <w:szCs w:val="24"/>
              </w:rPr>
              <w:t>内容を</w:t>
            </w:r>
          </w:p>
          <w:p w:rsidR="007010BE" w:rsidRPr="00157FFA" w:rsidRDefault="007010BE" w:rsidP="00157FFA">
            <w:pPr>
              <w:pStyle w:val="a3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確認</w:t>
            </w:r>
            <w:r w:rsidRPr="00157FFA">
              <w:rPr>
                <w:rFonts w:hint="eastAsia"/>
                <w:sz w:val="24"/>
                <w:szCs w:val="24"/>
              </w:rPr>
              <w:t>できるものであれば、</w:t>
            </w:r>
            <w:r w:rsidR="00157FFA">
              <w:rPr>
                <w:rFonts w:hint="eastAsia"/>
                <w:sz w:val="24"/>
                <w:szCs w:val="24"/>
              </w:rPr>
              <w:t>各医療機関の様式でも使用できます</w:t>
            </w:r>
            <w:r w:rsidRPr="00157FFA">
              <w:rPr>
                <w:rFonts w:hint="eastAsia"/>
                <w:sz w:val="24"/>
                <w:szCs w:val="24"/>
              </w:rPr>
              <w:t>。</w:t>
            </w:r>
          </w:p>
          <w:p w:rsidR="007010BE" w:rsidRDefault="007010BE" w:rsidP="007010BE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医療機関の指定はありません。精神保健指定医以外の医師（歯科医師</w:t>
            </w:r>
          </w:p>
          <w:p w:rsidR="007010BE" w:rsidRDefault="007010BE" w:rsidP="007010BE">
            <w:pPr>
              <w:pStyle w:val="a3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を除く）</w:t>
            </w:r>
            <w:r w:rsidR="00157FFA">
              <w:rPr>
                <w:rFonts w:hint="eastAsia"/>
                <w:sz w:val="24"/>
                <w:szCs w:val="24"/>
              </w:rPr>
              <w:t>による診断</w:t>
            </w:r>
            <w:r>
              <w:rPr>
                <w:rFonts w:hint="eastAsia"/>
                <w:sz w:val="24"/>
                <w:szCs w:val="24"/>
              </w:rPr>
              <w:t>で</w:t>
            </w:r>
            <w:r w:rsidR="00157FFA">
              <w:rPr>
                <w:rFonts w:hint="eastAsia"/>
                <w:sz w:val="24"/>
                <w:szCs w:val="24"/>
              </w:rPr>
              <w:t>も</w:t>
            </w:r>
            <w:r>
              <w:rPr>
                <w:rFonts w:hint="eastAsia"/>
                <w:sz w:val="24"/>
                <w:szCs w:val="24"/>
              </w:rPr>
              <w:t>構いません。</w:t>
            </w:r>
          </w:p>
          <w:p w:rsidR="00157FFA" w:rsidRPr="00157FFA" w:rsidRDefault="00157FFA" w:rsidP="000F2552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この参考様式は、</w:t>
            </w:r>
            <w:r w:rsidR="000F2552">
              <w:rPr>
                <w:rFonts w:hint="eastAsia"/>
                <w:sz w:val="24"/>
                <w:szCs w:val="24"/>
              </w:rPr>
              <w:t>公安委員会に提出する</w:t>
            </w:r>
            <w:r w:rsidR="000F2552" w:rsidRPr="000F2552">
              <w:rPr>
                <w:rFonts w:hint="eastAsia"/>
                <w:b/>
                <w:sz w:val="24"/>
                <w:szCs w:val="24"/>
                <w:u w:val="single"/>
              </w:rPr>
              <w:t>銃砲所持許可に係る診断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書と</w:t>
            </w:r>
          </w:p>
          <w:p w:rsidR="00157FFA" w:rsidRPr="00157FFA" w:rsidRDefault="00157FFA" w:rsidP="00157FFA">
            <w:pPr>
              <w:pStyle w:val="a3"/>
              <w:ind w:leftChars="0" w:left="48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しては使えない場合があります</w:t>
            </w:r>
            <w:r w:rsidRPr="00157FFA">
              <w:rPr>
                <w:rFonts w:hint="eastAsia"/>
                <w:sz w:val="24"/>
                <w:szCs w:val="24"/>
              </w:rPr>
              <w:t>のでご注意ください。</w:t>
            </w:r>
          </w:p>
          <w:p w:rsidR="000F2552" w:rsidRPr="000F2552" w:rsidRDefault="000F2552" w:rsidP="000F2552">
            <w:pPr>
              <w:pStyle w:val="a3"/>
              <w:ind w:leftChars="0" w:left="480"/>
              <w:rPr>
                <w:sz w:val="24"/>
                <w:szCs w:val="24"/>
              </w:rPr>
            </w:pPr>
          </w:p>
        </w:tc>
      </w:tr>
    </w:tbl>
    <w:p w:rsidR="00291C2D" w:rsidRDefault="00291C2D"/>
    <w:sectPr w:rsidR="00291C2D" w:rsidSect="00157F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1DE6"/>
    <w:multiLevelType w:val="hybridMultilevel"/>
    <w:tmpl w:val="64C65DB2"/>
    <w:lvl w:ilvl="0" w:tplc="733C33FA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D"/>
    <w:rsid w:val="000F2552"/>
    <w:rsid w:val="001266EF"/>
    <w:rsid w:val="00157FFA"/>
    <w:rsid w:val="00291C2D"/>
    <w:rsid w:val="002D1F58"/>
    <w:rsid w:val="0038430F"/>
    <w:rsid w:val="003D5C04"/>
    <w:rsid w:val="00484125"/>
    <w:rsid w:val="00634F85"/>
    <w:rsid w:val="00673DF6"/>
    <w:rsid w:val="007010BE"/>
    <w:rsid w:val="007327BD"/>
    <w:rsid w:val="007D6608"/>
    <w:rsid w:val="009A5B3B"/>
    <w:rsid w:val="009A66F6"/>
    <w:rsid w:val="00BE2286"/>
    <w:rsid w:val="00D173A8"/>
    <w:rsid w:val="00E14B37"/>
    <w:rsid w:val="00EA5266"/>
    <w:rsid w:val="00F80083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78772"/>
  <w15:docId w15:val="{FBE6D178-EBA1-416E-980D-29A72B15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B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D5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5C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cp:lastPrinted>2022-04-15T02:56:00Z</cp:lastPrinted>
  <dcterms:created xsi:type="dcterms:W3CDTF">2022-04-15T03:18:00Z</dcterms:created>
  <dcterms:modified xsi:type="dcterms:W3CDTF">2022-04-15T04:05:00Z</dcterms:modified>
</cp:coreProperties>
</file>